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AD" w:rsidRPr="009E3BF1" w:rsidRDefault="00543EAD" w:rsidP="00543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B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5A75D3" wp14:editId="5B6705C7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EAD" w:rsidRPr="009E3BF1" w:rsidRDefault="009B0F68" w:rsidP="00543EA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543EAD" w:rsidRPr="009E3BF1">
        <w:rPr>
          <w:rFonts w:ascii="Times New Roman" w:hAnsi="Times New Roman" w:cs="Times New Roman"/>
          <w:sz w:val="28"/>
          <w:szCs w:val="28"/>
        </w:rPr>
        <w:t xml:space="preserve"> НАУКИ </w:t>
      </w:r>
      <w:r>
        <w:rPr>
          <w:rFonts w:ascii="Times New Roman" w:hAnsi="Times New Roman" w:cs="Times New Roman"/>
          <w:sz w:val="28"/>
          <w:szCs w:val="28"/>
        </w:rPr>
        <w:t xml:space="preserve">И ВЫСШЕГО ОБРАЗОВАНИЯ </w:t>
      </w:r>
      <w:bookmarkStart w:id="0" w:name="_GoBack"/>
      <w:bookmarkEnd w:id="0"/>
      <w:r w:rsidR="00543EAD" w:rsidRPr="009E3BF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543EAD" w:rsidRPr="009E3BF1" w:rsidRDefault="00543EAD" w:rsidP="00543EAD">
      <w:pPr>
        <w:spacing w:after="0" w:line="240" w:lineRule="auto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BF1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543EAD" w:rsidRPr="009E3BF1" w:rsidRDefault="00543EAD" w:rsidP="00543EAD">
      <w:pPr>
        <w:spacing w:after="0" w:line="240" w:lineRule="auto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BF1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E3BF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E3BF1">
        <w:rPr>
          <w:rFonts w:ascii="Times New Roman" w:hAnsi="Times New Roman" w:cs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543EAD" w:rsidRPr="00AE6BB7" w:rsidRDefault="00543EAD" w:rsidP="00543E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BB7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D55BAB" w:rsidRDefault="00D55BAB" w:rsidP="00D55BAB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«ФИЛОСОФИЯ ПРАВА</w:t>
      </w:r>
      <w:r w:rsidRPr="00543EAD">
        <w:rPr>
          <w:rStyle w:val="a4"/>
          <w:sz w:val="28"/>
          <w:szCs w:val="28"/>
        </w:rPr>
        <w:t>»</w:t>
      </w:r>
    </w:p>
    <w:p w:rsidR="00D55BAB" w:rsidRDefault="00D55BAB" w:rsidP="00D55BAB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543EAD">
        <w:rPr>
          <w:rStyle w:val="a4"/>
          <w:sz w:val="28"/>
          <w:szCs w:val="28"/>
        </w:rPr>
        <w:t xml:space="preserve"> </w:t>
      </w:r>
    </w:p>
    <w:p w:rsidR="00D55BAB" w:rsidRPr="00A27846" w:rsidRDefault="00D55BAB" w:rsidP="00D55BAB">
      <w:pPr>
        <w:pStyle w:val="Default"/>
        <w:jc w:val="center"/>
        <w:rPr>
          <w:sz w:val="28"/>
          <w:szCs w:val="28"/>
        </w:rPr>
      </w:pPr>
      <w:r w:rsidRPr="00A27846">
        <w:rPr>
          <w:b/>
          <w:bCs/>
          <w:sz w:val="28"/>
          <w:szCs w:val="28"/>
        </w:rPr>
        <w:t>Методические указания и задания для контрольных работ</w:t>
      </w:r>
    </w:p>
    <w:p w:rsidR="00D55BAB" w:rsidRDefault="00D55BAB" w:rsidP="00D55BAB">
      <w:pPr>
        <w:pStyle w:val="Default"/>
        <w:jc w:val="center"/>
        <w:rPr>
          <w:b/>
          <w:bCs/>
          <w:sz w:val="28"/>
          <w:szCs w:val="28"/>
        </w:rPr>
      </w:pPr>
      <w:r w:rsidRPr="00A27846">
        <w:rPr>
          <w:b/>
          <w:bCs/>
          <w:sz w:val="28"/>
          <w:szCs w:val="28"/>
        </w:rPr>
        <w:t xml:space="preserve">для магистрантов заочной формы обучения </w:t>
      </w:r>
    </w:p>
    <w:p w:rsidR="00D55BAB" w:rsidRDefault="00D55BAB" w:rsidP="00D55BAB">
      <w:pPr>
        <w:pStyle w:val="Default"/>
        <w:jc w:val="center"/>
        <w:rPr>
          <w:b/>
          <w:bCs/>
          <w:sz w:val="28"/>
          <w:szCs w:val="28"/>
        </w:rPr>
      </w:pPr>
      <w:r w:rsidRPr="00A27846">
        <w:rPr>
          <w:b/>
          <w:bCs/>
          <w:sz w:val="28"/>
          <w:szCs w:val="28"/>
        </w:rPr>
        <w:t>по направлению подготовки:</w:t>
      </w:r>
    </w:p>
    <w:p w:rsidR="00D55BAB" w:rsidRDefault="00D55BAB" w:rsidP="00D55BA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27846">
        <w:rPr>
          <w:b/>
          <w:bCs/>
          <w:sz w:val="28"/>
          <w:szCs w:val="28"/>
        </w:rPr>
        <w:t>40.04.01 (030900) «Юриспруденция» программа</w:t>
      </w:r>
    </w:p>
    <w:p w:rsidR="00D55BAB" w:rsidRPr="00A27846" w:rsidRDefault="00D55BAB" w:rsidP="00D55BAB">
      <w:pPr>
        <w:pStyle w:val="Default"/>
        <w:jc w:val="center"/>
        <w:rPr>
          <w:rFonts w:ascii="Tahoma" w:hAnsi="Tahoma" w:cs="Tahoma"/>
          <w:color w:val="222222"/>
          <w:sz w:val="28"/>
          <w:szCs w:val="28"/>
        </w:rPr>
      </w:pPr>
      <w:r w:rsidRPr="00A27846">
        <w:rPr>
          <w:b/>
          <w:bCs/>
          <w:sz w:val="28"/>
          <w:szCs w:val="28"/>
        </w:rPr>
        <w:t xml:space="preserve"> «Правовой порядок и правовые ценности»</w:t>
      </w:r>
    </w:p>
    <w:p w:rsidR="00D55BAB" w:rsidRDefault="00D55BAB" w:rsidP="00D55BAB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D55BAB" w:rsidRPr="007C7D12" w:rsidRDefault="00D55BAB" w:rsidP="00D55BAB">
      <w:pPr>
        <w:pStyle w:val="a3"/>
        <w:shd w:val="clear" w:color="auto" w:fill="FEFEFE"/>
        <w:spacing w:before="300" w:beforeAutospacing="0" w:after="300" w:afterAutospacing="0"/>
        <w:ind w:left="300" w:right="-1"/>
        <w:rPr>
          <w:rStyle w:val="a4"/>
          <w:rFonts w:ascii="Tahoma" w:hAnsi="Tahoma" w:cs="Tahoma"/>
          <w:color w:val="222222"/>
        </w:rPr>
      </w:pPr>
      <w:r>
        <w:rPr>
          <w:b/>
          <w:bCs/>
          <w:sz w:val="23"/>
          <w:szCs w:val="23"/>
        </w:rPr>
        <w:t xml:space="preserve">                                                   </w:t>
      </w:r>
      <w:r w:rsidRPr="00B36B96">
        <w:rPr>
          <w:b/>
          <w:bCs/>
        </w:rPr>
        <w:t xml:space="preserve">Автор-составитель: </w:t>
      </w:r>
      <w:proofErr w:type="spellStart"/>
      <w:r w:rsidRPr="00B36B96">
        <w:t>ю.ф.н</w:t>
      </w:r>
      <w:proofErr w:type="spellEnd"/>
      <w:r w:rsidRPr="00B36B96">
        <w:t xml:space="preserve">., </w:t>
      </w:r>
      <w:proofErr w:type="spellStart"/>
      <w:r w:rsidRPr="00B36B96">
        <w:t>д.ю.н</w:t>
      </w:r>
      <w:proofErr w:type="spellEnd"/>
      <w:r w:rsidRPr="00B36B96">
        <w:t xml:space="preserve">., профессор </w:t>
      </w:r>
      <w:proofErr w:type="spellStart"/>
      <w:r w:rsidRPr="00B36B96">
        <w:t>Працко</w:t>
      </w:r>
      <w:proofErr w:type="spellEnd"/>
      <w:r w:rsidRPr="00B36B96">
        <w:t xml:space="preserve"> Г.С.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P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r w:rsidRPr="00543EAD">
        <w:rPr>
          <w:rStyle w:val="a4"/>
          <w:sz w:val="28"/>
          <w:szCs w:val="28"/>
        </w:rPr>
        <w:t>г. Ростов-на-Дону</w:t>
      </w:r>
    </w:p>
    <w:p w:rsidR="00543EAD" w:rsidRPr="00543EAD" w:rsidRDefault="002638F0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2020</w:t>
      </w:r>
    </w:p>
    <w:p w:rsidR="00D55BAB" w:rsidRDefault="00D55BAB" w:rsidP="00D55BAB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ВВЕДЕНИЕ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В ходе изучения дисциплины «Философия права» в том числе при написании контрольной работы, магистранты должны овладеть понятиями современной философии права.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Подготовка письменной контрольной работы – наиболее доступный способ развития навыков самостоятельной, поисково-исследовательской деятельности. Кроме того, подготовка такой работы – это также способ правильного изложения и оформления учебного материала.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Контрольная работа – это самостоятельная письменная работа, которая анализирует и обобщает наиболее интересные публикации по выбранной теме, одновременно предполагая выработку и обоснование собственной позиции.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контрольной работы: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проверка и оценка знаний магистрантов; </w:t>
      </w:r>
    </w:p>
    <w:p w:rsidR="00442673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навыков правового анализа документов, позиций ученых по различным проблемам </w:t>
      </w:r>
      <w:r w:rsidR="00442673">
        <w:rPr>
          <w:sz w:val="28"/>
          <w:szCs w:val="28"/>
        </w:rPr>
        <w:t>философии права;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навыками формулировать и отстаивать свою собственную точку зрения;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получение информации об уровне самостоятельности и активности магистрантов, об эффективности форм и методов учебной работы.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Задачи, стоящими перед магистрантами во время выполнения контрольной работы: </w:t>
      </w:r>
      <w:proofErr w:type="gramEnd"/>
    </w:p>
    <w:p w:rsidR="00D55BAB" w:rsidRDefault="00D55BAB" w:rsidP="0044267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существующей </w:t>
      </w:r>
      <w:r w:rsidR="00442673">
        <w:rPr>
          <w:sz w:val="28"/>
          <w:szCs w:val="28"/>
        </w:rPr>
        <w:t>научной литературы</w:t>
      </w:r>
      <w:r>
        <w:rPr>
          <w:sz w:val="28"/>
          <w:szCs w:val="28"/>
        </w:rPr>
        <w:t xml:space="preserve">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сопоставление различных точки зрения и выработка на этой основе собственных суждений и выводов;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оперирование юридическими понятиями и категориями;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самостоятельное изучение правовых актов, усвоение их содержания и анализ, аргументирование своих выводов по сути данных документов ссылками на их текст, проведение их правового анализа;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применять полученные знания при подготовке выпускной квалификационной работы и в практической деятельности.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Этапы выполнения контрольной работы: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Отбор и тщательное изучение рекомендованной литературы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</w:t>
      </w:r>
      <w:r>
        <w:rPr>
          <w:sz w:val="28"/>
          <w:szCs w:val="28"/>
        </w:rPr>
        <w:lastRenderedPageBreak/>
        <w:t xml:space="preserve">российского права», «Вестник МГУ. Серия Право», «Российский юридический журнал».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Анализ собранного материала, изложение содержания вопросов и выполнение </w:t>
      </w:r>
      <w:proofErr w:type="spellStart"/>
      <w:r>
        <w:rPr>
          <w:sz w:val="28"/>
          <w:szCs w:val="28"/>
        </w:rPr>
        <w:t>разноуровневых</w:t>
      </w:r>
      <w:proofErr w:type="spellEnd"/>
      <w:r>
        <w:rPr>
          <w:sz w:val="28"/>
          <w:szCs w:val="28"/>
        </w:rPr>
        <w:t xml:space="preserve"> заданий. Самый важный и ответственный момент в процессе подготовки контрольной работы – это изучение и анализ литературных источников.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контрольной работы особое место занимает изучение нормативного правового материала.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плана при написании работы не требуется.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Оформление списка использованных источников.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как действующие законодательные акты, так и памятники права.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того,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Предоставление ее в деканат (кафедру) для регистрации и дальнейшего рецензирования в соответствии с установленными сроками (не позднее, чем за две недели до начала сессии). Контрольные работы регистрируются в журнале и проверяются преподавателем, ведущим занятия в группе.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контрольной работы выставляется оценка «зачтено» - «не зачтено».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«зачтено» выставляется магистранту в том случае, если представленная контрольная работа соответствует следующим критериям: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содержательность работы (верное, четкое и достаточно глубокое изложение идей, понятий, фактов и т.д.);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полнота и одновременно разумная лаконичность;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новизна учебной информации, степень использования и понимания научных и нормативных источников;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связывать теорию с практикой, творчески применять знания к неординарным ситуациям;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логика и аргументированность изложения;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грамотное комментирование, интерпретация и анализ, приведение примеров, аналогий;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культура письма.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литературы.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оценки контрольной работы зависит от полноты рассмотрения вопросов, степени использования литературы и законодательства по теме, грамотности и качества оформления.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Работа с рецензией преподавателя и устранение указанных замечаний.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Получив рецензию на представленную контрольную работу, магистрант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</w:t>
      </w:r>
      <w:proofErr w:type="gramStart"/>
      <w:r>
        <w:rPr>
          <w:sz w:val="28"/>
          <w:szCs w:val="28"/>
        </w:rPr>
        <w:t>не верно</w:t>
      </w:r>
      <w:proofErr w:type="gramEnd"/>
      <w:r>
        <w:rPr>
          <w:sz w:val="28"/>
          <w:szCs w:val="28"/>
        </w:rPr>
        <w:t xml:space="preserve"> решена задача, работа неправильно оформлена и т.д.) она возвращается магистранту на доработку.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написанной по результатам проверки работы рецензии преподаватель отмечает достоинства и недостатки изложения материала и оценивает контрольную работу («зачтено» или «не зачтено»). В случае если работа не будет зачтена, магистрант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контрольной работы: </w:t>
      </w:r>
      <w:r>
        <w:rPr>
          <w:sz w:val="28"/>
          <w:szCs w:val="28"/>
        </w:rPr>
        <w:t xml:space="preserve">титульный лист, задание (вариант контрольной работы с заданиями), основная часть (текстовый материал), список использованных источников.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Вопросы и задания, представленные в вариантах контрольной работы, прежде всего, направлены на организацию активной учебной деятельности магистрантов; раскрытию причинно-следственных связей, установлению последовательности фактов, выделения главного, выявлению общего и отличного в явлениях.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должна выполняться самостоятельно и на высоком теоретическом уровне.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работы должна быть написана на основе обстоятельного изучения рекомендованной литературы. Кроме указанной литературы, могут быть использованы и другие источники, которые магистрант найдет самостоятельно.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Порядок выбора темы контрольной работы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BEA">
        <w:rPr>
          <w:rFonts w:ascii="Times New Roman" w:hAnsi="Times New Roman" w:cs="Times New Roman"/>
          <w:sz w:val="28"/>
          <w:szCs w:val="28"/>
        </w:rPr>
        <w:t>Выбор варианта контрольной работы осуществляется магистрантом по первой букве своей фамилии следующим образом:</w:t>
      </w: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D55BAB" w:rsidTr="00344428">
        <w:tc>
          <w:tcPr>
            <w:tcW w:w="5211" w:type="dxa"/>
          </w:tcPr>
          <w:p w:rsidR="00D55BAB" w:rsidRDefault="00D55BAB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Первая буква фамилии </w:t>
            </w:r>
          </w:p>
        </w:tc>
        <w:tc>
          <w:tcPr>
            <w:tcW w:w="4360" w:type="dxa"/>
          </w:tcPr>
          <w:p w:rsidR="00D55BAB" w:rsidRDefault="00D55BAB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 контрольной работы</w:t>
            </w:r>
          </w:p>
        </w:tc>
      </w:tr>
      <w:tr w:rsidR="00D55BAB" w:rsidTr="00344428">
        <w:tc>
          <w:tcPr>
            <w:tcW w:w="5211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А, В, Д, Ж, И, Л, Н,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, С, У, Х, Ч, Ш, Ю</w:t>
            </w:r>
          </w:p>
        </w:tc>
        <w:tc>
          <w:tcPr>
            <w:tcW w:w="4360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1,3,5,7,9 </w:t>
            </w:r>
          </w:p>
        </w:tc>
      </w:tr>
      <w:tr w:rsidR="00D55BAB" w:rsidTr="00344428">
        <w:tc>
          <w:tcPr>
            <w:tcW w:w="5211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Б, Г, Е,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 xml:space="preserve">, К, М, О, Р, Т, Ф, Ц, Щ, Э, Я </w:t>
            </w:r>
          </w:p>
        </w:tc>
        <w:tc>
          <w:tcPr>
            <w:tcW w:w="4360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2,4,6,8,10 </w:t>
            </w:r>
          </w:p>
        </w:tc>
      </w:tr>
    </w:tbl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выполняется магистрантом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Times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New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Roman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, через 1,5 интервала.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Работа должна быть выполнена аккуратно. В печатном варианте должны быть соблюдены требования, предъявляемые к оформлению письменных работ (поля, интервалы, шрифт).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. и в ЭБС «Университетская библиотека онлайн» (www.biblioclub.ru), использование </w:t>
      </w:r>
      <w:proofErr w:type="gram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отражается в списке литературы.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Контрольные работы, не соответствующие по содержанию и </w:t>
      </w:r>
      <w:proofErr w:type="gramStart"/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оформлению</w:t>
      </w:r>
      <w:proofErr w:type="gramEnd"/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указанным выше требованиям, к рассмотрению не принимаются.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>В качестве образца магистрантам следует принимать во внимание пример оформления контрольной работы по изучаемой дисциплине, размещенный на сайте.</w:t>
      </w:r>
    </w:p>
    <w:p w:rsidR="007C1C31" w:rsidRDefault="007C1C31" w:rsidP="00543EAD">
      <w:pPr>
        <w:pStyle w:val="a3"/>
        <w:shd w:val="clear" w:color="auto" w:fill="FEFEFE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543EAD" w:rsidRDefault="00D55BAB" w:rsidP="00E67ADB">
      <w:pPr>
        <w:pStyle w:val="a3"/>
        <w:shd w:val="clear" w:color="auto" w:fill="FEFEFE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для выполнения</w:t>
      </w:r>
      <w:r w:rsidR="00543EAD" w:rsidRPr="00543EAD">
        <w:rPr>
          <w:b/>
          <w:bCs/>
          <w:sz w:val="28"/>
          <w:szCs w:val="28"/>
        </w:rPr>
        <w:t xml:space="preserve"> контрольных работ:</w:t>
      </w:r>
    </w:p>
    <w:p w:rsidR="00F452DA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1.</w:t>
      </w:r>
    </w:p>
    <w:p w:rsidR="00543EAD" w:rsidRPr="00543EAD" w:rsidRDefault="00543EAD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543EAD">
        <w:rPr>
          <w:sz w:val="28"/>
          <w:szCs w:val="28"/>
        </w:rPr>
        <w:t>1.Право как объект философского знания.</w:t>
      </w:r>
    </w:p>
    <w:p w:rsidR="00543EAD" w:rsidRPr="00543EAD" w:rsidRDefault="00543EAD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543EAD">
        <w:rPr>
          <w:sz w:val="28"/>
          <w:szCs w:val="28"/>
        </w:rPr>
        <w:t>2.Основные факторы развития философии права.</w:t>
      </w:r>
    </w:p>
    <w:p w:rsidR="00543EAD" w:rsidRDefault="00543EAD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543EAD">
        <w:rPr>
          <w:sz w:val="28"/>
          <w:szCs w:val="28"/>
        </w:rPr>
        <w:t>3.Уровни и формы рефлексии права.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2.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.Право и философия в истории европейской культуры.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.Право и философия в истории русской культуры.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.Философско-правовая идея свободы и деятельность юриста.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3.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.Категория справедливости в философии права.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.Правовой идеал.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.Духовные основы права.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4.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.Правовая реальность как система.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.Юридическая деятельность: содержание и структура.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.Право как общественная необходимость.</w:t>
      </w: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5.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.Понятие нравственного и правового императива.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.Уровни правой реальности.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.Бытийность права.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6.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.Законы общества и законы государства.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.Критерии правового закона.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.Социальные и юридические законы.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7.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.Справедливость в философии права и юридической деятельности.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43EAD" w:rsidRPr="00543EAD">
        <w:rPr>
          <w:sz w:val="28"/>
          <w:szCs w:val="28"/>
        </w:rPr>
        <w:t>.Понятие общего блага, его философско-правовой смысл.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.Право как безопасность и стабильность общества.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8.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.Феномен власти: философско-правовой анализ.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.Сила и насилие.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.Насилие и справедливость.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9.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.Субъект и средства власти.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.Право силы и сила права.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.Синергетический подход к порядку.</w:t>
      </w:r>
    </w:p>
    <w:p w:rsid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F452DA" w:rsidRPr="00F452DA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F452DA">
        <w:rPr>
          <w:b/>
          <w:sz w:val="28"/>
          <w:szCs w:val="28"/>
        </w:rPr>
        <w:t>Вариант 10.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43EAD" w:rsidRPr="00543EAD">
        <w:rPr>
          <w:sz w:val="28"/>
          <w:szCs w:val="28"/>
        </w:rPr>
        <w:t>.Взаимодействие права и морали в социальном порядке.</w:t>
      </w:r>
    </w:p>
    <w:p w:rsidR="00543EAD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43EAD" w:rsidRPr="00543EAD">
        <w:rPr>
          <w:sz w:val="28"/>
          <w:szCs w:val="28"/>
        </w:rPr>
        <w:t>.Обычаи, традиции, нравы и функционирование правопорядка.</w:t>
      </w:r>
    </w:p>
    <w:p w:rsid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43EAD" w:rsidRPr="00543EAD">
        <w:rPr>
          <w:sz w:val="28"/>
          <w:szCs w:val="28"/>
        </w:rPr>
        <w:t>.Идея правопорядка в истории философско-правовой мысли.</w:t>
      </w:r>
    </w:p>
    <w:p w:rsidR="00E67ADB" w:rsidRDefault="00E67ADB" w:rsidP="007C1C31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21"/>
        <w:gridCol w:w="1774"/>
        <w:gridCol w:w="1667"/>
        <w:gridCol w:w="1826"/>
        <w:gridCol w:w="33"/>
        <w:gridCol w:w="2128"/>
        <w:gridCol w:w="374"/>
        <w:gridCol w:w="952"/>
      </w:tblGrid>
      <w:tr w:rsidR="005E6E61" w:rsidTr="005E6E61">
        <w:trPr>
          <w:trHeight w:val="277"/>
        </w:trPr>
        <w:tc>
          <w:tcPr>
            <w:tcW w:w="94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5E6E61" w:rsidTr="005E6E61">
        <w:trPr>
          <w:trHeight w:val="277"/>
        </w:trPr>
        <w:tc>
          <w:tcPr>
            <w:tcW w:w="94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5E6E61" w:rsidTr="005E6E61">
        <w:trPr>
          <w:trHeight w:hRule="exact" w:val="27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E6E61" w:rsidRDefault="005E6E61">
            <w:pPr>
              <w:rPr>
                <w:lang w:val="en-US"/>
              </w:rPr>
            </w:pP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E6E61" w:rsidTr="005E6E61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Малахов, В.П.</w:t>
            </w:r>
          </w:p>
        </w:tc>
        <w:tc>
          <w:tcPr>
            <w:tcW w:w="35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права. Идеи и предположения: учебное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ЮНИТИ-ДАНА, 2015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Нерсесянц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Владик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Сумбатович</w:t>
            </w:r>
            <w:proofErr w:type="spellEnd"/>
          </w:p>
        </w:tc>
        <w:tc>
          <w:tcPr>
            <w:tcW w:w="35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2016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Данильян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Олег Геннадиевич,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Байрачная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Людмила Даниловна</w:t>
            </w:r>
          </w:p>
        </w:tc>
        <w:tc>
          <w:tcPr>
            <w:tcW w:w="35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Учебник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2018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val="277"/>
        </w:trPr>
        <w:tc>
          <w:tcPr>
            <w:tcW w:w="94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5E6E61" w:rsidTr="005E6E61">
        <w:trPr>
          <w:trHeight w:hRule="exact" w:val="27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E6E61" w:rsidRDefault="005E6E61">
            <w:pPr>
              <w:rPr>
                <w:lang w:val="en-US"/>
              </w:rPr>
            </w:pP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E6E61" w:rsidTr="005E6E61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Шершеневич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Г.Ф.</w:t>
            </w:r>
          </w:p>
        </w:tc>
        <w:tc>
          <w:tcPr>
            <w:tcW w:w="35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теория права. Философия права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Тип. И.Н.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Кушнерева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К°, 1912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100"/>
        </w:trPr>
        <w:tc>
          <w:tcPr>
            <w:tcW w:w="4110" w:type="dxa"/>
            <w:gridSpan w:val="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 w:rsidP="005E6E61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40040</w:t>
            </w:r>
          </w:p>
        </w:tc>
        <w:tc>
          <w:tcPr>
            <w:tcW w:w="1826" w:type="dxa"/>
          </w:tcPr>
          <w:p w:rsidR="005E6E61" w:rsidRDefault="005E6E61">
            <w:pPr>
              <w:rPr>
                <w:lang w:val="en-US"/>
              </w:rPr>
            </w:pPr>
          </w:p>
        </w:tc>
        <w:tc>
          <w:tcPr>
            <w:tcW w:w="2161" w:type="dxa"/>
            <w:gridSpan w:val="2"/>
          </w:tcPr>
          <w:p w:rsidR="005E6E61" w:rsidRDefault="005E6E61">
            <w:pPr>
              <w:rPr>
                <w:lang w:val="en-US"/>
              </w:rPr>
            </w:pPr>
          </w:p>
        </w:tc>
        <w:tc>
          <w:tcPr>
            <w:tcW w:w="374" w:type="dxa"/>
          </w:tcPr>
          <w:p w:rsidR="005E6E61" w:rsidRDefault="005E6E61">
            <w:pPr>
              <w:rPr>
                <w:lang w:val="en-US"/>
              </w:rPr>
            </w:pPr>
          </w:p>
        </w:tc>
        <w:tc>
          <w:tcPr>
            <w:tcW w:w="95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right"/>
              <w:rPr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5E6E61" w:rsidTr="005E6E61">
        <w:trPr>
          <w:trHeight w:hRule="exact" w:val="478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Шиллинг, Ф.А.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Естественное право или Философия права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Типография В. Грачева и К°, 1862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478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Ромашов, Р.А., Пеньковский, Е.В.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 и преступления: монография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Санкт-Петербург: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Алетейя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478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Малахов, В.П.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Идеи и предположения; учебное пособие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-Дана, 2012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113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.5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Мальков, Б.Н.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права. Часть 2: учебное пособие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Всероссийский государственный университет юстиции (РПА Минюста России), 2011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.6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Нерсесянц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Владик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Сумбатович</w:t>
            </w:r>
            <w:proofErr w:type="spellEnd"/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Учебник для вузов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2008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.7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Керимов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Джангир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Аббасович</w:t>
            </w:r>
            <w:proofErr w:type="spellEnd"/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общей теории права и государства: В 3 т. Т. 2. Философия права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Современного гуманитарного университета (СГУ), 2002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478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.8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Нерсесянц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Владик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Сумбатович</w:t>
            </w:r>
            <w:proofErr w:type="spellEnd"/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 Гегеля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.9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Малинова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Изабелла Павловна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 и юридическая герменевтика: Монография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2014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.10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Демина Лариса Анатольевна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концептуальные основы преподавания в юридических вузах: монография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2016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.11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Графский Владимир Георгиевич, Борщ Ирина Валериевна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 в России: из опыта XX века: Монография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2017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91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.12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Демина Лариса Анатольевна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концептуальные основы преподавания в юридических вузах: Монография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2017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478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.13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Нерсесянц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С.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учеб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ля вузов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Норма: ИНФРА-М, 2011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</w:tr>
      <w:tr w:rsidR="005E6E61" w:rsidTr="005E6E61">
        <w:trPr>
          <w:trHeight w:hRule="exact" w:val="478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.14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Михалкин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Н. 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Михалкин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Н.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учеб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 для вузов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</w:tr>
      <w:tr w:rsidR="005E6E61" w:rsidTr="005E6E61">
        <w:trPr>
          <w:trHeight w:val="277"/>
        </w:trPr>
        <w:tc>
          <w:tcPr>
            <w:tcW w:w="94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5E6E61" w:rsidTr="005E6E61">
        <w:trPr>
          <w:trHeight w:hRule="exact" w:val="27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E6E61" w:rsidRDefault="005E6E61">
            <w:pPr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E6E61" w:rsidTr="005E6E61">
        <w:trPr>
          <w:trHeight w:hRule="exact" w:val="91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Рябченко, А.Г.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права: учебно-методическое пособие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Краснодар, Саратов: Южный институт менеджмента, Ай Пи Эр Медиа, 2017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E6E61" w:rsidTr="005E6E61">
        <w:trPr>
          <w:trHeight w:hRule="exact" w:val="113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E6E61" w:rsidRDefault="005E6E61">
            <w:pPr>
              <w:rPr>
                <w:lang w:val="en-US"/>
              </w:rPr>
            </w:pP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E6E61" w:rsidRPr="005E6E61" w:rsidRDefault="005E6E6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E6E61" w:rsidRDefault="005E6E61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5E6E61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</w:p>
    <w:p w:rsidR="00D55BAB" w:rsidRPr="00CD288A" w:rsidRDefault="005E6E61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D55B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55BAB"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по изучению дисциплины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Философия права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В значительной степени добиться упорядочения знаний по дисциплине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Философия права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>» позволит последовательное изучение рекомендуемых специальных источников. Трудности при изучении дисциплины также могут возникнуть в связи со значительным количес</w:t>
      </w:r>
      <w:r>
        <w:rPr>
          <w:rFonts w:ascii="Times New Roman" w:hAnsi="Times New Roman" w:cs="Times New Roman"/>
          <w:color w:val="000000"/>
          <w:sz w:val="28"/>
          <w:szCs w:val="28"/>
        </w:rPr>
        <w:t>твом нормативно-правовых актов.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 «Проблемой» при изучении дисциплины является значительная мобильность норм, содержащихся в источниках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Поэтому в процессе самостоятельной работы, при подготовке к аудиторным занятиям, к экзамену, а также при написании эссе, подготовке научных докладов необходимо уточнять действие изучаемого нормативно</w:t>
      </w:r>
      <w:r w:rsidR="00E67AD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акта по времени. Целесообразно использовать возможности СПС «Консультант Плюс».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Практические занятия нацелены на формирование и развитие профессиональных компетенций студентов в рамках изучения дисциплины. По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Философия права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» используются следующие формы оценки компетенций: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1. Собеседование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2. Тестирование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3. Устный опрос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4. Доклад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5. Дискуссия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6. Эссе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7. Контрольные вопросы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8. Лабораторный практикум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9. Темы для проведения круглого стола </w:t>
      </w: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</w:r>
      <w:proofErr w:type="gramEnd"/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Тестирование представляет собой систему стандартизированных заданий, </w:t>
      </w: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позволяющая</w:t>
      </w:r>
      <w:proofErr w:type="gramEnd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 автоматизировать процедуру измерения уровня знаний и умений обучающегося.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Для решения тестовых заданий необходимо предварительно изучить нормативную и специальную литературу по рассматриваемой теме. 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</w:t>
      </w: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й(</w:t>
      </w:r>
      <w:proofErr w:type="spellStart"/>
      <w:proofErr w:type="gramEnd"/>
      <w:r w:rsidRPr="00CD288A">
        <w:rPr>
          <w:rFonts w:ascii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) ответ (ответы).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Устный опрос - метод контроля, позволяющий не только опрашивать и контролировать знания обучающихся, но и сразу же поправлять, повторять и закреплять знания, умения и навыки. </w:t>
      </w:r>
      <w:proofErr w:type="gramEnd"/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Дискуссия - средство проверки умений применять полученные знания для решения задач определенного типа по теме или разделу.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втором этапе – аудиторном занятии – идет публичное обсуждение дискуссионных вопросов. Дискуссия как интерактивная форма обучения предполагает проведение научных дебатов. Хорошо проведенная дискуссия имеет большую обучающую и воспитательную ценность.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Проводимые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вопросы - средство проверки умений применять полученные знания для решения задач определенного типа по теме или разделу. </w:t>
      </w:r>
    </w:p>
    <w:p w:rsidR="00D55BAB" w:rsidRDefault="00D55BAB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Круглый стол - обсуждение, основанное на сообщениях, в качестве </w:t>
      </w:r>
      <w:r w:rsidRPr="00CD288A">
        <w:rPr>
          <w:rFonts w:ascii="Times New Roman" w:hAnsi="Times New Roman" w:cs="Times New Roman"/>
          <w:sz w:val="28"/>
          <w:szCs w:val="28"/>
        </w:rPr>
        <w:t>итогов дает результаты, которые, в свою очередь, являются новыми знаниями.</w:t>
      </w:r>
    </w:p>
    <w:p w:rsidR="005271B1" w:rsidRPr="00155D7F" w:rsidRDefault="005271B1" w:rsidP="00543E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271B1" w:rsidRPr="00155D7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CB5" w:rsidRDefault="00F61CB5" w:rsidP="00155D7F">
      <w:pPr>
        <w:spacing w:after="0" w:line="240" w:lineRule="auto"/>
      </w:pPr>
      <w:r>
        <w:separator/>
      </w:r>
    </w:p>
  </w:endnote>
  <w:endnote w:type="continuationSeparator" w:id="0">
    <w:p w:rsidR="00F61CB5" w:rsidRDefault="00F61CB5" w:rsidP="0015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93676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55D7F" w:rsidRPr="00155D7F" w:rsidRDefault="00155D7F">
        <w:pPr>
          <w:pStyle w:val="a9"/>
          <w:jc w:val="center"/>
          <w:rPr>
            <w:rFonts w:ascii="Times New Roman" w:hAnsi="Times New Roman" w:cs="Times New Roman"/>
          </w:rPr>
        </w:pPr>
        <w:r w:rsidRPr="00155D7F">
          <w:rPr>
            <w:rFonts w:ascii="Times New Roman" w:hAnsi="Times New Roman" w:cs="Times New Roman"/>
          </w:rPr>
          <w:fldChar w:fldCharType="begin"/>
        </w:r>
        <w:r w:rsidRPr="00155D7F">
          <w:rPr>
            <w:rFonts w:ascii="Times New Roman" w:hAnsi="Times New Roman" w:cs="Times New Roman"/>
          </w:rPr>
          <w:instrText>PAGE   \* MERGEFORMAT</w:instrText>
        </w:r>
        <w:r w:rsidRPr="00155D7F">
          <w:rPr>
            <w:rFonts w:ascii="Times New Roman" w:hAnsi="Times New Roman" w:cs="Times New Roman"/>
          </w:rPr>
          <w:fldChar w:fldCharType="separate"/>
        </w:r>
        <w:r w:rsidR="009B0F68">
          <w:rPr>
            <w:rFonts w:ascii="Times New Roman" w:hAnsi="Times New Roman" w:cs="Times New Roman"/>
            <w:noProof/>
          </w:rPr>
          <w:t>1</w:t>
        </w:r>
        <w:r w:rsidRPr="00155D7F">
          <w:rPr>
            <w:rFonts w:ascii="Times New Roman" w:hAnsi="Times New Roman" w:cs="Times New Roman"/>
          </w:rPr>
          <w:fldChar w:fldCharType="end"/>
        </w:r>
      </w:p>
    </w:sdtContent>
  </w:sdt>
  <w:p w:rsidR="00155D7F" w:rsidRDefault="00155D7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CB5" w:rsidRDefault="00F61CB5" w:rsidP="00155D7F">
      <w:pPr>
        <w:spacing w:after="0" w:line="240" w:lineRule="auto"/>
      </w:pPr>
      <w:r>
        <w:separator/>
      </w:r>
    </w:p>
  </w:footnote>
  <w:footnote w:type="continuationSeparator" w:id="0">
    <w:p w:rsidR="00F61CB5" w:rsidRDefault="00F61CB5" w:rsidP="00155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25EA7"/>
    <w:multiLevelType w:val="hybridMultilevel"/>
    <w:tmpl w:val="07DCDF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B7716A"/>
    <w:multiLevelType w:val="hybridMultilevel"/>
    <w:tmpl w:val="DA963D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C3"/>
    <w:rsid w:val="000E3BA0"/>
    <w:rsid w:val="00155D7F"/>
    <w:rsid w:val="00224E1C"/>
    <w:rsid w:val="002638F0"/>
    <w:rsid w:val="00442673"/>
    <w:rsid w:val="005271B1"/>
    <w:rsid w:val="00543EAD"/>
    <w:rsid w:val="005E6E61"/>
    <w:rsid w:val="007C1C31"/>
    <w:rsid w:val="009B0F68"/>
    <w:rsid w:val="00B53AF1"/>
    <w:rsid w:val="00C4766F"/>
    <w:rsid w:val="00D55BAB"/>
    <w:rsid w:val="00DA258D"/>
    <w:rsid w:val="00E67ADB"/>
    <w:rsid w:val="00EB46C1"/>
    <w:rsid w:val="00EE3BC3"/>
    <w:rsid w:val="00F452DA"/>
    <w:rsid w:val="00F6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E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D7F"/>
  </w:style>
  <w:style w:type="paragraph" w:styleId="a9">
    <w:name w:val="footer"/>
    <w:basedOn w:val="a"/>
    <w:link w:val="aa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D7F"/>
  </w:style>
  <w:style w:type="paragraph" w:customStyle="1" w:styleId="Default">
    <w:name w:val="Default"/>
    <w:rsid w:val="00D55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D55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E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D7F"/>
  </w:style>
  <w:style w:type="paragraph" w:styleId="a9">
    <w:name w:val="footer"/>
    <w:basedOn w:val="a"/>
    <w:link w:val="aa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D7F"/>
  </w:style>
  <w:style w:type="paragraph" w:customStyle="1" w:styleId="Default">
    <w:name w:val="Default"/>
    <w:rsid w:val="00D55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D55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2730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Анастасия</cp:lastModifiedBy>
  <cp:revision>11</cp:revision>
  <dcterms:created xsi:type="dcterms:W3CDTF">2018-12-26T07:44:00Z</dcterms:created>
  <dcterms:modified xsi:type="dcterms:W3CDTF">2020-08-18T19:05:00Z</dcterms:modified>
</cp:coreProperties>
</file>